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72"/>
        </w:rPr>
      </w:pPr>
    </w:p>
    <w:p>
      <w:pPr>
        <w:jc w:val="center"/>
        <w:rPr>
          <w:rFonts w:ascii="宋体" w:hAnsi="宋体" w:eastAsia="宋体"/>
          <w:b/>
          <w:color w:val="000000"/>
          <w:sz w:val="72"/>
        </w:rPr>
      </w:pPr>
      <w:r>
        <w:rPr>
          <w:rFonts w:ascii="宋体" w:hAnsi="宋体" w:eastAsia="宋体"/>
          <w:b/>
          <w:color w:val="000000"/>
          <w:sz w:val="72"/>
        </w:rPr>
        <w:t>2022年唐山市部门绩效（草案）</w:t>
      </w:r>
    </w:p>
    <w:p>
      <w:pPr>
        <w:jc w:val="center"/>
        <w:rPr>
          <w:rFonts w:ascii="宋体" w:hAnsi="宋体" w:eastAsia="宋体"/>
          <w:b/>
          <w:color w:val="000000"/>
          <w:sz w:val="7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中国共产党唐山市纪律检查委员会</w:t>
      </w: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中国共产党唐山市纪律检查委员会编制</w:t>
      </w:r>
    </w:p>
    <w:p>
      <w:pPr>
        <w:jc w:val="center"/>
        <w:rPr>
          <w:rFonts w:ascii="楷体" w:hAnsi="宋体" w:eastAsia="楷体"/>
          <w:b/>
          <w:color w:val="000000"/>
          <w:sz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" w:hAnsi="宋体" w:eastAsia="楷体"/>
          <w:b/>
          <w:color w:val="000000"/>
          <w:sz w:val="52"/>
        </w:rPr>
        <w:t>唐山市财政局审核</w:t>
      </w:r>
    </w:p>
    <w:p>
      <w:pPr>
        <w:jc w:val="center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t>目 录</w:t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TOC \o "1-3" \h \u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</w:p>
    <w:p>
      <w:pPr>
        <w:pStyle w:val="5"/>
        <w:tabs>
          <w:tab w:val="right" w:leader="dot" w:pos="8296"/>
        </w:tabs>
        <w:rPr>
          <w:rFonts w:ascii="宋体" w:hAnsi="宋体" w:eastAsia="宋体"/>
          <w:b/>
          <w:color w:val="000000"/>
          <w:sz w:val="32"/>
        </w:rPr>
      </w:pPr>
      <w:r>
        <w:fldChar w:fldCharType="begin"/>
      </w:r>
      <w:r>
        <w:instrText xml:space="preserve"> HYPERLINK \l "_Toc91835287" </w:instrText>
      </w:r>
      <w:r>
        <w:fldChar w:fldCharType="separate"/>
      </w:r>
      <w:r>
        <w:rPr>
          <w:rStyle w:val="8"/>
          <w:rFonts w:hint="eastAsia" w:ascii="宋体" w:hAnsi="宋体" w:eastAsia="宋体"/>
          <w:b/>
          <w:color w:val="000000"/>
          <w:sz w:val="32"/>
          <w:u w:val="none"/>
        </w:rPr>
        <w:t>部门总体绩效目标及保障措施</w:t>
      </w:r>
      <w:r>
        <w:rPr>
          <w:rFonts w:ascii="宋体" w:hAnsi="宋体" w:eastAsia="宋体"/>
          <w:b/>
          <w:color w:val="000000"/>
          <w:sz w:val="32"/>
        </w:rPr>
        <w:tab/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PAGEREF _Toc91835287 \h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  <w:r>
        <w:rPr>
          <w:rFonts w:ascii="宋体" w:hAnsi="宋体" w:eastAsia="宋体"/>
          <w:b/>
          <w:color w:val="000000"/>
          <w:sz w:val="32"/>
        </w:rPr>
        <w:t>1</w:t>
      </w:r>
      <w:r>
        <w:rPr>
          <w:rFonts w:ascii="宋体" w:hAnsi="宋体" w:eastAsia="宋体"/>
          <w:b/>
          <w:color w:val="000000"/>
          <w:sz w:val="32"/>
        </w:rPr>
        <w:fldChar w:fldCharType="end"/>
      </w: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pStyle w:val="5"/>
        <w:tabs>
          <w:tab w:val="right" w:leader="dot" w:pos="8296"/>
        </w:tabs>
        <w:rPr>
          <w:rFonts w:ascii="宋体" w:hAnsi="宋体" w:eastAsia="宋体"/>
          <w:b/>
          <w:color w:val="000000"/>
          <w:sz w:val="32"/>
        </w:rPr>
      </w:pPr>
      <w:r>
        <w:fldChar w:fldCharType="begin"/>
      </w:r>
      <w:r>
        <w:instrText xml:space="preserve"> HYPERLINK \l "_Toc91835288" </w:instrText>
      </w:r>
      <w:r>
        <w:fldChar w:fldCharType="separate"/>
      </w:r>
      <w:r>
        <w:rPr>
          <w:rStyle w:val="8"/>
          <w:rFonts w:hint="eastAsia" w:ascii="宋体" w:hAnsi="宋体" w:eastAsia="宋体"/>
          <w:b/>
          <w:color w:val="000000"/>
          <w:sz w:val="32"/>
          <w:u w:val="none"/>
        </w:rPr>
        <w:t>预算项目绩效表</w:t>
      </w:r>
      <w:r>
        <w:rPr>
          <w:rFonts w:ascii="宋体" w:hAnsi="宋体" w:eastAsia="宋体"/>
          <w:b/>
          <w:color w:val="000000"/>
          <w:sz w:val="32"/>
        </w:rPr>
        <w:tab/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PAGEREF _Toc91835288 \h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  <w:r>
        <w:rPr>
          <w:rFonts w:ascii="宋体" w:hAnsi="宋体" w:eastAsia="宋体"/>
          <w:b/>
          <w:color w:val="000000"/>
          <w:sz w:val="32"/>
        </w:rPr>
        <w:t>4</w:t>
      </w:r>
      <w:r>
        <w:rPr>
          <w:rFonts w:ascii="宋体" w:hAnsi="宋体" w:eastAsia="宋体"/>
          <w:b/>
          <w:color w:val="000000"/>
          <w:sz w:val="32"/>
        </w:rPr>
        <w:fldChar w:fldCharType="end"/>
      </w: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jc w:val="center"/>
        <w:rPr>
          <w:rFonts w:ascii="楷体" w:hAnsi="宋体" w:eastAsia="楷体"/>
          <w:b/>
          <w:color w:val="000000"/>
          <w:sz w:val="5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pStyle w:val="2"/>
        <w:jc w:val="center"/>
      </w:pPr>
      <w:bookmarkStart w:id="0" w:name="_Toc91835287"/>
      <w:r>
        <w:t>部门总体绩效目标及保障措施</w:t>
      </w:r>
      <w:bookmarkEnd w:id="0"/>
    </w:p>
    <w:p>
      <w:pPr>
        <w:jc w:val="left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t>一、部门总体绩效目标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一、总体绩效目标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认真贯彻落实党的十九大及中、省纪委全会精神，履行监督执纪问责和监督调查处置职责，深化党风廉政建设和反腐败工作，推动全面从严治党向纵深发展，营造和巩固风清气正的政治生态。坚持以初心使命作为政治本色和前进动力，“两个维护”进一步融入血脉、铸入灵魂、见诸行动；坚决整治群众反映强烈的突出问题，让群众获得感成色更足、幸福感更可持续、安全感更有保障；统筹推进纪检监察体制改革，制度优势切实转化为治理效能；充分发挥专责监督作用，对权力运行的制约不断强化；巩固拓展作风建设成效，推动化风成俗、成为习惯；持续深化政治巡察，形成系统集成、协同高效的工作格局；一体推进不敢腐、不能腐、不想腐，反腐败斗争压倒性胜利不断巩固发展；恪守忠诚干净担当、敢于善于斗争要求，下大气力把队伍建强、让干部过硬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二、分项绩效目标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（一）深化党风廉政建设和反腐败工作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绩效目标：维护党纪国法，坚决惩处腐败分子，有效遏制腐败现象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绩效指标：组织开展监督检查次数  项目资金执行情况  留置案件办结时间  办案经费支出执行情况  查处案件挽回经济损失  群众对贪腐案件办理满意度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（二）加强数据平台建设，推动全面从严治党向纵深发展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绩效目标：建设市纪委大数据监督平台，对全市重点工程、重点系统、重点领域项目进行大数据监督，依托涉案系统对审查调查工作进行智能化信息研判，推动全面从严治党向纵深发展。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绩效指标：开发系统数量  系统验收合格率  支出进度  采购成本控制率  设备使用率  助力办案工作程度  使用人员满意率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（三）完善办案点功能，营造和巩固风清气正的政治生态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绩效目标：2022年完成廉政宣教中心建设项目，完善办案点功能，强化后勤服务，帮助营造和巩固风清气正的政治生态。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绩效指标：基础设施项目建设完成率  工程质量合格率  工程完成及时率  预算控制数  安全性提高程度  使用单位</w:t>
      </w:r>
      <w:bookmarkStart w:id="2" w:name="_GoBack"/>
      <w:bookmarkEnd w:id="2"/>
      <w:r>
        <w:rPr>
          <w:rFonts w:hint="eastAsia" w:ascii="宋体" w:hAnsi="宋体" w:cs="宋体"/>
          <w:color w:val="363636"/>
          <w:sz w:val="21"/>
          <w:szCs w:val="21"/>
        </w:rPr>
        <w:t>成员满意度。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三、工作保障措施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完善制度建设。制定完善预算绩效管理制度、资金管理办法、工作保障制度等，为全年预算绩效目标的实现奠定制度基础。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加强支出管理。通过优化支出结构、编细编实预算、加快履行政府采购手续、尽快启动项目、及时支付资金等多种措施，确保支出进度达标。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加强绩效运行监控。按要求开展绩效运行监控，发现问题及时采取措施，确保绩效目标如期保质实现。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做好绩效自评。按要求开展年度部门预算绩效自评和重点评价工作，对评价中发现的问题及时整改，调整优化支出结构，提高财政资金使用效益。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规范财务资产管理。完善财务管理制度，严格审批程序，加强固定资产登记、使用和报废处置管理，做到支出合理，物尽其用。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加强内部监督。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  <w:r>
        <w:rPr>
          <w:rFonts w:hint="eastAsia" w:ascii="宋体" w:hAnsi="宋体" w:cs="宋体"/>
          <w:color w:val="363636"/>
          <w:sz w:val="21"/>
          <w:szCs w:val="21"/>
        </w:rPr>
        <w:t>加强宣传培训调研。加强人员培训，提高本部门职工业务素质；加强调研，提出优化财政资金配置、提高资金使用效益的意见；加大宣传力度，强化预算绩效管理意识，促进预算绩效管理水平进一步提升。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宋体"/>
          <w:color w:val="363636"/>
          <w:sz w:val="21"/>
          <w:szCs w:val="21"/>
        </w:rPr>
      </w:pP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ascii="宋体" w:hAnsi="宋体" w:cs="宋体"/>
          <w:color w:val="363636"/>
          <w:sz w:val="21"/>
          <w:szCs w:val="21"/>
        </w:rPr>
      </w:pPr>
    </w:p>
    <w:p>
      <w:pPr>
        <w:pStyle w:val="6"/>
        <w:widowControl/>
        <w:spacing w:before="0" w:beforeAutospacing="0" w:after="150" w:afterAutospacing="0" w:line="360" w:lineRule="auto"/>
        <w:rPr>
          <w:rFonts w:ascii="宋体" w:hAnsi="宋体" w:cs="宋体"/>
          <w:color w:val="363636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  <w:shd w:val="clear" w:color="auto" w:fill="FFFFFF"/>
        </w:rPr>
      </w:pPr>
    </w:p>
    <w:p>
      <w:pPr>
        <w:jc w:val="left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t>二、目标规划及保障措施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（一）增强“两个维护”的自觉性坚定性，以强有力的政治监督保障我市“十四五”规划顺利实施。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（二）一刻不停推进反腐败斗争，全力实现不敢腐、不能腐、不想腐一体推进战略目标。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（三）持之以恒落实中央八项规定及其实施细则精神，弘扬求真务实、清正廉洁的新风正气。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（四）持续整治群众身边腐败和不正之风，促进社会公平正义、保障群众合法权益。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（五）完善巡察工作格局，充分发挥党内监督利剑和密切联系群众纽带作用。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（六）牢牢抓住监督基本职责、第一职责，充分发挥监督治理效能。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（七）发挥改革先导、突破、创立作用，有效推进党内监督和国家监察全覆盖。 </w:t>
      </w:r>
    </w:p>
    <w:p>
      <w:pPr>
        <w:pStyle w:val="6"/>
        <w:widowControl/>
        <w:spacing w:before="0" w:beforeAutospacing="0" w:after="150" w:afterAutospacing="0" w:line="360" w:lineRule="auto"/>
        <w:ind w:firstLine="420" w:firstLineChars="200"/>
        <w:rPr>
          <w:rFonts w:hint="eastAsia" w:ascii="宋体" w:hAnsi="宋体" w:cs="方正仿宋简体"/>
          <w:color w:val="363636"/>
          <w:sz w:val="21"/>
          <w:szCs w:val="21"/>
        </w:rPr>
      </w:pPr>
      <w:r>
        <w:rPr>
          <w:rFonts w:hint="eastAsia" w:ascii="宋体" w:hAnsi="宋体" w:cs="方正仿宋简体"/>
          <w:color w:val="363636"/>
          <w:sz w:val="21"/>
          <w:szCs w:val="21"/>
        </w:rPr>
        <w:t>（八）从严从实加强自我监督约束，打造政治素质高、忠诚干净担当、专业化能力强、敢于善于斗争的纪检监察铁军。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br w:type="page"/>
      </w:r>
    </w:p>
    <w:p>
      <w:pPr>
        <w:pStyle w:val="2"/>
        <w:jc w:val="center"/>
      </w:pPr>
      <w:bookmarkStart w:id="1" w:name="_Toc91835288"/>
      <w:r>
        <w:t>预算项目绩效表</w:t>
      </w:r>
      <w:bookmarkEnd w:id="1"/>
    </w:p>
    <w:p>
      <w:pPr>
        <w:spacing w:line="480" w:lineRule="auto"/>
        <w:jc w:val="left"/>
        <w:rPr>
          <w:rFonts w:ascii="宋体" w:hAnsi="宋体" w:eastAsia="宋体"/>
          <w:b/>
          <w:color w:val="000000"/>
          <w:sz w:val="28"/>
        </w:rPr>
      </w:pPr>
      <w:r>
        <w:rPr>
          <w:rFonts w:ascii="宋体" w:hAnsi="宋体" w:eastAsia="宋体"/>
          <w:b/>
          <w:color w:val="000000"/>
          <w:sz w:val="28"/>
        </w:rPr>
        <w:t>105002 中国共产党唐山市纪律检查委员会</w:t>
      </w:r>
    </w:p>
    <w:p/>
    <w:tbl>
      <w:tblPr>
        <w:tblStyle w:val="9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76"/>
        <w:gridCol w:w="1417"/>
        <w:gridCol w:w="1560"/>
        <w:gridCol w:w="155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105002B16DX0003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纪委大要案准备金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预算数：</w:t>
            </w:r>
            <w:r>
              <w:rPr>
                <w:rFonts w:ascii="宋体" w:hAnsi="宋体" w:eastAsia="宋体" w:cs="宋体"/>
                <w:sz w:val="24"/>
              </w:rPr>
              <w:t>1400万元，全部为其他收入．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1.差旅费：主要用于各办案处室在办案期间产生的差旅费、住宿费、办案专用手机通讯费以及其他费用，费用合计约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900</w:t>
            </w:r>
            <w:r>
              <w:rPr>
                <w:rFonts w:ascii="宋体" w:hAnsi="宋体" w:eastAsia="宋体" w:cs="宋体"/>
                <w:sz w:val="24"/>
              </w:rPr>
              <w:t>万元。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2.办公费：（1）各办案处室在办案期间产生的办公费，主要包括：打印纸（用于案卷组卷）、硒鼓、粉仓、墨盒、办公用品等，费用约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185</w:t>
            </w:r>
            <w:r>
              <w:rPr>
                <w:rFonts w:ascii="宋体" w:hAnsi="宋体" w:eastAsia="宋体" w:cs="宋体"/>
                <w:sz w:val="24"/>
              </w:rPr>
              <w:t>万元；（2）中、省纪委规定办案期间无间断录音录像，因此需购买大量移动存储设备，该存储设备属于保密设备随案件办结同时移交案件监督管理室储放，于电子档案封存。此外，还需要购买执法记录仪、酒精测试仪、测距仪等办公设备，合计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网络舆情监测费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15万元。</w:t>
            </w:r>
            <w:r>
              <w:rPr>
                <w:rFonts w:hint="eastAsia" w:ascii="宋体" w:hAnsi="宋体" w:eastAsia="宋体" w:cs="宋体"/>
                <w:sz w:val="24"/>
              </w:rPr>
              <w:t>办公费合计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235</w:t>
            </w:r>
            <w:r>
              <w:rPr>
                <w:rFonts w:ascii="宋体" w:hAnsi="宋体" w:eastAsia="宋体" w:cs="宋体"/>
                <w:sz w:val="24"/>
              </w:rPr>
              <w:t>万元。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3.办公设备购置：购置办案期间需要的电脑、打印机、复印机等办公设备，共计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70</w:t>
            </w:r>
            <w:r>
              <w:rPr>
                <w:rFonts w:ascii="宋体" w:hAnsi="宋体" w:eastAsia="宋体" w:cs="宋体"/>
                <w:sz w:val="24"/>
              </w:rPr>
              <w:t>万元。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.办案期间车辆租赁费：因办案数量增加，特别是为深入贯彻落实习近平总书记在中央纪委全会上提出的“对政法系统腐败严惩不贷，对民生领域腐败和涉黑涉恶“保护伞”一查到底”要求，特别是古江书记在市纪委全会上提出的“解决侵害群众利益问题力度需进一步加大”“矿山领域尚未查处有影响力的典型案件，按照市委十届十二次全会和市纪委十届五次全会部署，市纪委监委组织开展基层“微腐败”专项整治、矿山资源领域腐败和作风问</w:t>
            </w:r>
            <w:r>
              <w:rPr>
                <w:rFonts w:hint="eastAsia" w:ascii="宋体" w:hAnsi="宋体" w:eastAsia="宋体" w:cs="宋体"/>
                <w:sz w:val="24"/>
              </w:rPr>
              <w:t>题专项整治、涉黑涉恶“保护伞”问题专项整治、供销合作社系统腐败和作风问题专项整治、基础设施建设领域腐败和作风问题专项整治，各办案处室在办理案件过程中全年需租用车辆</w:t>
            </w:r>
            <w:r>
              <w:rPr>
                <w:rFonts w:ascii="宋体" w:hAnsi="宋体" w:eastAsia="宋体" w:cs="宋体"/>
                <w:sz w:val="24"/>
              </w:rPr>
              <w:t>25辆，每台每年租赁费6万元，油料费约45万，共计195万元。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维护党纪国法尊严，坚决惩处腐败分子，有效遏制腐败现象。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指标值确定依据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组织开展监督检查次数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参与监督检查工作的人数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根据过去三年情况推测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项目资金执行情况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项目资金执行率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95%以上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根据过去三年情况推测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留置案件办结时间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留置案件结案时间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2022年12月底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依据《中国人民共和国监察法》规定留置案件办案期限不超过</w:t>
            </w:r>
            <w:r>
              <w:rPr>
                <w:rFonts w:ascii="宋体" w:hAnsi="宋体" w:eastAsia="宋体" w:cs="宋体"/>
                <w:kern w:val="0"/>
                <w:sz w:val="24"/>
              </w:rPr>
              <w:t>3个月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办案经费预算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年初预算安排</w:t>
            </w:r>
            <w:r>
              <w:rPr>
                <w:rFonts w:ascii="宋体" w:hAnsi="宋体" w:eastAsia="宋体" w:cs="宋体"/>
                <w:kern w:val="0"/>
                <w:sz w:val="24"/>
              </w:rPr>
              <w:t>1400万元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1400万元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根据过去三年情况推测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查处案件挽回经济损失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查处案件挽回资金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3000万元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根据过去三年情况推测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群众对贪腐案件办理满意度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群众对贪腐案件满意度调查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高于</w:t>
            </w:r>
            <w:r>
              <w:rPr>
                <w:rFonts w:ascii="宋体" w:hAnsi="宋体" w:eastAsia="宋体" w:cs="宋体"/>
                <w:kern w:val="0"/>
                <w:sz w:val="24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根据过去三年情况推测</w:t>
            </w:r>
          </w:p>
        </w:tc>
      </w:tr>
    </w:tbl>
    <w:p/>
    <w:p/>
    <w:p/>
    <w:tbl>
      <w:tblPr>
        <w:tblStyle w:val="9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76"/>
        <w:gridCol w:w="1417"/>
        <w:gridCol w:w="1560"/>
        <w:gridCol w:w="155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105002B21DX0008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廉政宣教中心建设费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预算数</w:t>
            </w:r>
            <w:r>
              <w:rPr>
                <w:rFonts w:ascii="宋体" w:hAnsi="宋体" w:eastAsia="宋体" w:cs="宋体"/>
                <w:sz w:val="24"/>
              </w:rPr>
              <w:t>638万元，全部为财政拨款。主要用于廉政宣教中心建设。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90.00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保障廉政宣教中心建设项目如期保质保量完成，按资金支出计划支出，严格控制预算，保障工作人员人身安全，使用人员满意。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指标值确定依据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基础设施项目建设完成率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基础设施建设项目工程完成情况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工程量报告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工程质量合格率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合格的工程数量占总工程数量的比例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工程验收报告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工程完成及时率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工程完成及时情况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工程进度表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预算控制率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预算控制率</w:t>
            </w:r>
            <w:r>
              <w:rPr>
                <w:rFonts w:ascii="宋体" w:hAnsi="宋体" w:eastAsia="宋体" w:cs="宋体"/>
                <w:kern w:val="0"/>
                <w:sz w:val="24"/>
              </w:rPr>
              <w:t>=（项目当期实际支出成本-项目当期预算）/项目当期预算*100%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小于</w:t>
            </w:r>
            <w:r>
              <w:rPr>
                <w:rFonts w:ascii="宋体" w:hAnsi="宋体" w:eastAsia="宋体" w:cs="宋体"/>
                <w:kern w:val="0"/>
                <w:sz w:val="24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审计决算报告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安全性提高程度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对房屋及其构筑物的安全性和合格率进行维护、保养和检测，保障工作人员人身安全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效果显著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检测报告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使用单位成员满意度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通过问卷调查，反映满意的人员占总人数的比例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大于</w:t>
            </w:r>
            <w:r>
              <w:rPr>
                <w:rFonts w:ascii="宋体" w:hAnsi="宋体" w:eastAsia="宋体" w:cs="宋体"/>
                <w:kern w:val="0"/>
                <w:sz w:val="24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问卷调查</w:t>
            </w:r>
          </w:p>
        </w:tc>
      </w:tr>
    </w:tbl>
    <w:p/>
    <w:p/>
    <w:p/>
    <w:tbl>
      <w:tblPr>
        <w:tblStyle w:val="9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76"/>
        <w:gridCol w:w="1417"/>
        <w:gridCol w:w="1560"/>
        <w:gridCol w:w="155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105002B22DX0009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市纪委大数据监督平台建设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预算数</w:t>
            </w:r>
            <w:r>
              <w:rPr>
                <w:rFonts w:ascii="宋体" w:hAnsi="宋体" w:eastAsia="宋体" w:cs="宋体"/>
                <w:kern w:val="0"/>
                <w:sz w:val="24"/>
              </w:rPr>
              <w:t>740万元，其中财政资金740万元，用于唐山市纪委监督大数据监督平台主要包括数据资源中心、智慧监督平台、信息查询分析平台3个模块。项目总预算1852.9万元，2022年暂按40%安排预算资金740万元。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90.00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平台建设数量达标，系统验收合格率高，严格执行预算安排，使用人员满意度高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指标值确定依据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系统开发数量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当年开发的系统数量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年初工作计划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系统验收合格率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系统验收合格率</w:t>
            </w:r>
            <w:r>
              <w:rPr>
                <w:rFonts w:ascii="宋体" w:hAnsi="宋体" w:eastAsia="宋体" w:cs="宋体"/>
                <w:kern w:val="0"/>
                <w:sz w:val="24"/>
              </w:rPr>
              <w:t>=系统验收合格数量/系统总数量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年初工作计划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支出进度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支出进度</w:t>
            </w:r>
            <w:r>
              <w:rPr>
                <w:rFonts w:ascii="宋体" w:hAnsi="宋体" w:eastAsia="宋体" w:cs="宋体"/>
                <w:kern w:val="0"/>
                <w:sz w:val="24"/>
              </w:rPr>
              <w:t>=当年实际支出数/预算数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年初工作计划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采购成本控制率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采购成本控制率</w:t>
            </w:r>
            <w:r>
              <w:rPr>
                <w:rFonts w:ascii="宋体" w:hAnsi="宋体" w:eastAsia="宋体" w:cs="宋体"/>
                <w:kern w:val="0"/>
                <w:sz w:val="24"/>
              </w:rPr>
              <w:t>=（实际成本-计划成本）/计划成本*100%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≤</w:t>
            </w:r>
            <w:r>
              <w:rPr>
                <w:rFonts w:ascii="宋体" w:hAnsi="宋体" w:eastAsia="宋体" w:cs="宋体"/>
                <w:kern w:val="0"/>
                <w:sz w:val="24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年初工作计划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设备使用率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设备使用率</w:t>
            </w:r>
            <w:r>
              <w:rPr>
                <w:rFonts w:ascii="宋体" w:hAnsi="宋体" w:eastAsia="宋体" w:cs="宋体"/>
                <w:kern w:val="0"/>
                <w:sz w:val="24"/>
              </w:rPr>
              <w:t>=信息设备或建设的系统使用台数/设备总数*100%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实际使用情况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助力办案工作程度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助力办案工作程度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提质增效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年初工作计划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使用人员满意率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使用人员满意率</w:t>
            </w:r>
            <w:r>
              <w:rPr>
                <w:rFonts w:ascii="宋体" w:hAnsi="宋体" w:eastAsia="宋体" w:cs="宋体"/>
                <w:kern w:val="0"/>
                <w:sz w:val="24"/>
              </w:rPr>
              <w:t>=满意的人数/总人数*100%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调查问卷</w:t>
            </w:r>
          </w:p>
        </w:tc>
      </w:tr>
    </w:tbl>
    <w:p/>
    <w:p/>
    <w:p>
      <w:pPr>
        <w:spacing w:line="360" w:lineRule="auto"/>
        <w:jc w:val="left"/>
        <w:rPr>
          <w:rFonts w:ascii="宋体" w:hAnsi="宋体" w:eastAsia="宋体"/>
          <w:b/>
          <w:color w:val="000000"/>
          <w:sz w:val="28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480" w:lineRule="auto"/>
        <w:jc w:val="left"/>
        <w:rPr>
          <w:rFonts w:ascii="宋体" w:hAnsi="宋体" w:eastAsia="宋体"/>
          <w:b/>
          <w:color w:val="000000"/>
          <w:sz w:val="28"/>
        </w:rPr>
      </w:pPr>
      <w:r>
        <w:rPr>
          <w:rFonts w:ascii="宋体" w:hAnsi="宋体" w:eastAsia="宋体"/>
          <w:b/>
          <w:color w:val="000000"/>
          <w:sz w:val="28"/>
        </w:rPr>
        <w:t>105004 唐山市廉政中心</w:t>
      </w:r>
    </w:p>
    <w:p/>
    <w:tbl>
      <w:tblPr>
        <w:tblStyle w:val="9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76"/>
        <w:gridCol w:w="1417"/>
        <w:gridCol w:w="1560"/>
        <w:gridCol w:w="155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105004B22DX0001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唐山市廉政中心同步录音录像系统升级改造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项目资金主要用途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预算数</w:t>
            </w:r>
            <w:r>
              <w:rPr>
                <w:rFonts w:ascii="宋体" w:hAnsi="宋体" w:eastAsia="宋体" w:cs="宋体"/>
                <w:kern w:val="0"/>
                <w:sz w:val="24"/>
              </w:rPr>
              <w:t>1177万元，全部为财政资金。主要用于廉政中心同步录音录像系统升级改造。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资金支出计划(累计进度%)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90.00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1.实现所有办案区域的音视频采集设备与同录设备双重覆盖，解决之前设备老旧带来的故障频发、稳定性差等一系列隐患问题。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2.为中心服务大局，全面落实好省纪委监委相关工作安排，做好安全隐患自纠自查，有效堵塞工作漏洞打下坚实的基础，具备较好的可持续性。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3.保证各专案组办案安全和审查调查过程合规合纪，排查风险隐患，坚持保障安全和勤俭节约的原则，改造留置场所同步录音录像系统，确保留置场所、留置对象和谈话讯问视频资料等敏感数据安全。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绩效指标描述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指标值确定依据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录音录像系统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录音录像系统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关于加强留置场所同步录音录像系统安全保障的通知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工程质量合格率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合格工程量占总工程量的比例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关于加强留置场所同步录音录像系统安全保障的通知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工程完成及时率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工程完成及时情况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关于加强留置场所同步录音录像系统安全保障的通知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预算资金完成率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预算资金完成率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关于加强留置场所同步录音录像系统安全保障的通知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使用单位成员满意度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通过问卷调查，反映满意的人员占总人数的比例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大于</w:t>
            </w:r>
            <w:r>
              <w:rPr>
                <w:rFonts w:ascii="宋体" w:hAnsi="宋体" w:eastAsia="宋体" w:cs="宋体"/>
                <w:kern w:val="0"/>
                <w:sz w:val="24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关于加强留置场所同步录音录像系统安全保障的通知</w:t>
            </w:r>
          </w:p>
        </w:tc>
      </w:tr>
    </w:tbl>
    <w:p/>
    <w:p/>
    <w:p>
      <w:pPr>
        <w:spacing w:line="360" w:lineRule="auto"/>
        <w:jc w:val="left"/>
        <w:rPr>
          <w:rFonts w:ascii="宋体" w:hAnsi="宋体" w:eastAsia="宋体"/>
          <w:b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</w:instrText>
    </w:r>
    <w:r>
      <w:rPr>
        <w:rFonts w:hint="eastAsia"/>
      </w:rPr>
      <w:instrText xml:space="preserve">Page \* MERGEFORMAT</w:instrText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4"/>
    <w:rsid w:val="003978A4"/>
    <w:rsid w:val="004D5590"/>
    <w:rsid w:val="2D3E0A8F"/>
    <w:rsid w:val="594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774</Words>
  <Characters>4416</Characters>
  <Lines>36</Lines>
  <Paragraphs>10</Paragraphs>
  <TotalTime>74</TotalTime>
  <ScaleCrop>false</ScaleCrop>
  <LinksUpToDate>false</LinksUpToDate>
  <CharactersWithSpaces>5180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2021-12-31T01:27:00Z</dcterms:created>
  <dc:creator>Windows 用户</dc:creator>
  <cp:lastModifiedBy>Administrator</cp:lastModifiedBy>
  <cp:lastPrinted>2021-12-31T03:30:36Z</cp:lastPrinted>
  <dcterms:modified xsi:type="dcterms:W3CDTF">2021-12-31T04:46:19Z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